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986" w:rsidRPr="00060986" w:rsidRDefault="00060986" w:rsidP="00060986">
      <w:pPr>
        <w:spacing w:line="276" w:lineRule="auto"/>
        <w:ind w:left="360"/>
        <w:jc w:val="center"/>
        <w:rPr>
          <w:b/>
          <w:sz w:val="26"/>
          <w:szCs w:val="28"/>
        </w:rPr>
      </w:pPr>
      <w:bookmarkStart w:id="0" w:name="_GoBack"/>
      <w:bookmarkEnd w:id="0"/>
      <w:r w:rsidRPr="00060986">
        <w:rPr>
          <w:b/>
          <w:sz w:val="26"/>
          <w:szCs w:val="28"/>
        </w:rPr>
        <w:t>Об итогах деятельности ГУО, ОО реализации Федерального закона от 24.06.1999 г. № 120-ФЗ «Об основах системы профилактики безнадзорности и правонарушений несовершеннолетних», ФЗ-120 за 2021 г.</w:t>
      </w:r>
    </w:p>
    <w:p w:rsidR="00BF1356" w:rsidRDefault="00BF1356" w:rsidP="00BF1356">
      <w:pPr>
        <w:ind w:firstLine="424"/>
        <w:jc w:val="both"/>
        <w:rPr>
          <w:b/>
          <w:sz w:val="26"/>
          <w:szCs w:val="26"/>
        </w:rPr>
      </w:pPr>
      <w:proofErr w:type="gramStart"/>
      <w:r>
        <w:rPr>
          <w:sz w:val="26"/>
          <w:szCs w:val="26"/>
        </w:rPr>
        <w:t>Деятельность  ГУО, общеобразовательных организаций (далее – ОО) в рамках реализации Федерального закона от 24.06.1999 г. № 120-ФЗ «Об основах системы профилактики безнадзорности и правонарушений несовершеннолетних» осуществляется в пределах компетенции органов управления образованием в соответствии с федеральным и региональным законодательством, по средствам реализации  муниципальных целевых программ, внутренних локальных актов ГУО, ОО, планов межведомственного взаимодействия субъектов системы профилактики, а именно:</w:t>
      </w:r>
      <w:proofErr w:type="gramEnd"/>
    </w:p>
    <w:p w:rsidR="00BF1356" w:rsidRDefault="00BF1356" w:rsidP="00BF1356">
      <w:pPr>
        <w:pStyle w:val="a3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муниципальной программы «Развитие образования в городе Черногорске (2021-2025 годы)» подпрограмма «Развитие системы дополнительного образования детей, выявление и поддержка одаренных детей и молодежи, создание условий для комплексного развития и жизнедеятельности детей»;</w:t>
      </w:r>
    </w:p>
    <w:p w:rsidR="00BF1356" w:rsidRDefault="00BF1356" w:rsidP="00BF1356">
      <w:pPr>
        <w:numPr>
          <w:ilvl w:val="0"/>
          <w:numId w:val="2"/>
        </w:numPr>
        <w:shd w:val="clear" w:color="auto" w:fill="FFFFFF"/>
        <w:spacing w:line="293" w:lineRule="exact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плана работы ГУО по профилактике безнадзорности, правонарушений, злоупотребления </w:t>
      </w:r>
      <w:proofErr w:type="spellStart"/>
      <w:r>
        <w:rPr>
          <w:sz w:val="26"/>
          <w:szCs w:val="26"/>
        </w:rPr>
        <w:t>психоактивными</w:t>
      </w:r>
      <w:proofErr w:type="spellEnd"/>
      <w:r>
        <w:rPr>
          <w:sz w:val="26"/>
          <w:szCs w:val="26"/>
        </w:rPr>
        <w:t xml:space="preserve"> веществами и иных негативных явлений среди несовершеннолетних;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</w:p>
    <w:p w:rsidR="00BF1356" w:rsidRDefault="00BF1356" w:rsidP="00BF1356">
      <w:pPr>
        <w:widowControl w:val="0"/>
        <w:numPr>
          <w:ilvl w:val="0"/>
          <w:numId w:val="3"/>
        </w:numPr>
        <w:tabs>
          <w:tab w:val="left" w:pos="1185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плана мероприятий по профилактике суицидального поведения детей и подростков;</w:t>
      </w:r>
    </w:p>
    <w:p w:rsidR="00BF1356" w:rsidRDefault="00BF1356" w:rsidP="00BF1356">
      <w:pPr>
        <w:widowControl w:val="0"/>
        <w:numPr>
          <w:ilvl w:val="0"/>
          <w:numId w:val="3"/>
        </w:numPr>
        <w:tabs>
          <w:tab w:val="left" w:pos="1185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плана мероприятий по профилактике групповой  и рецидивной преступности среди учащихся школ города;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</w:p>
    <w:p w:rsidR="00BF1356" w:rsidRDefault="00BF1356" w:rsidP="00BF1356">
      <w:pPr>
        <w:widowControl w:val="0"/>
        <w:numPr>
          <w:ilvl w:val="0"/>
          <w:numId w:val="3"/>
        </w:numPr>
        <w:tabs>
          <w:tab w:val="left" w:pos="1185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плана мероприятий ГУО по профилактике асоциального поведения учащихся;</w:t>
      </w:r>
    </w:p>
    <w:p w:rsidR="00BF1356" w:rsidRDefault="00BF1356" w:rsidP="00BF1356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плана мероприятий ГУО по профилактике наркомании, токсикомании среди школьников;</w:t>
      </w:r>
    </w:p>
    <w:p w:rsidR="00BF1356" w:rsidRDefault="00BF1356" w:rsidP="00BF1356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плана мероприятий ГУО по проведению оперативно профилактического мероприятия «Подросток»;</w:t>
      </w:r>
    </w:p>
    <w:p w:rsidR="00BF1356" w:rsidRDefault="00BF1356" w:rsidP="00BF1356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плана мероприятий ГУО в рамках Всероссийской акции «Безопасность детства» и др.</w:t>
      </w:r>
    </w:p>
    <w:p w:rsidR="00BF1356" w:rsidRDefault="00BF1356" w:rsidP="00BF1356">
      <w:pPr>
        <w:widowControl w:val="0"/>
        <w:autoSpaceDE w:val="0"/>
        <w:autoSpaceDN w:val="0"/>
        <w:adjustRightInd w:val="0"/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ГУО контролирует соблюдение законодательства Российской Федерации и Республики Хакасия в области образования несовершеннолетних. Специалисты ГУО, педагогические работники ОО ведут учет несовершеннолетних, не посещающих, или систематически пропускающих по неуважительным причинам занятия в общеобразовательных организациях (имеются банки данных).</w:t>
      </w:r>
    </w:p>
    <w:p w:rsidR="00BF1356" w:rsidRDefault="00BF1356" w:rsidP="00BF1356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целью предупреждения правонарушений и преступлений несовершеннолетних ведется активная работа по вовлечению детей и подростков группы социального риска в организованные формы досуга: классные часы, семинары, диспуты, акции, клубы, трудоустройство и т.д. Охват организованным досугом детей, состоящих на межведомственном профилактическом учете (ОДН), </w:t>
      </w:r>
      <w:proofErr w:type="spellStart"/>
      <w:r>
        <w:rPr>
          <w:sz w:val="26"/>
          <w:szCs w:val="26"/>
        </w:rPr>
        <w:t>внутришкольном</w:t>
      </w:r>
      <w:proofErr w:type="spellEnd"/>
      <w:r>
        <w:rPr>
          <w:sz w:val="26"/>
          <w:szCs w:val="26"/>
        </w:rPr>
        <w:t xml:space="preserve"> (ВШУ) учете  в свободное от занятий время  составляет 100% (2020 год – 100%).</w:t>
      </w:r>
    </w:p>
    <w:p w:rsidR="00BF1356" w:rsidRDefault="00BF1356" w:rsidP="00BF1356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>ГУО наряду с другими ведомствами  является организатором отдыха детей в период летних каникул.</w:t>
      </w:r>
    </w:p>
    <w:p w:rsidR="00BF1356" w:rsidRDefault="00BF1356" w:rsidP="00BF135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летний период 2021 года в городе Черногорске на базах ОО  функционировало 14 лагерей с дневным пребыванием детей, в которых оздоровлено 2663 ребенка. В число данных  детей входят учащиеся, находящиеся в </w:t>
      </w:r>
      <w:r>
        <w:rPr>
          <w:sz w:val="26"/>
          <w:szCs w:val="26"/>
        </w:rPr>
        <w:lastRenderedPageBreak/>
        <w:t xml:space="preserve">трудной жизненной ситуации, состоящие на различных видах межведомственного учета, дети из малоимущих, многодетных семей, а также дети, достигшие особых успехов в учебе по итогам  2020-2021 учебного года.  </w:t>
      </w:r>
    </w:p>
    <w:p w:rsidR="00BF1356" w:rsidRDefault="00BF1356" w:rsidP="00BF135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30.08.2021 года в ГУО,  ОО состояло на учете </w:t>
      </w:r>
      <w:proofErr w:type="gramStart"/>
      <w:r>
        <w:rPr>
          <w:sz w:val="26"/>
          <w:szCs w:val="26"/>
        </w:rPr>
        <w:t>в</w:t>
      </w:r>
      <w:proofErr w:type="gramEnd"/>
      <w:r>
        <w:rPr>
          <w:sz w:val="26"/>
          <w:szCs w:val="26"/>
        </w:rPr>
        <w:t xml:space="preserve"> </w:t>
      </w:r>
    </w:p>
    <w:p w:rsidR="00BF1356" w:rsidRDefault="00BF1356" w:rsidP="00BF135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ОДН – 36 чел. </w:t>
      </w:r>
    </w:p>
    <w:p w:rsidR="00BF1356" w:rsidRDefault="00BF1356" w:rsidP="00BF135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ВШУ – 16 чел. </w:t>
      </w:r>
    </w:p>
    <w:p w:rsidR="00BF1356" w:rsidRDefault="00BF1356" w:rsidP="00BF135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СОП – 38 семей, в них 42 школьника </w:t>
      </w:r>
    </w:p>
    <w:p w:rsidR="00BF1356" w:rsidRDefault="00BF1356" w:rsidP="00BF1356">
      <w:pPr>
        <w:spacing w:line="240" w:lineRule="atLeast"/>
        <w:ind w:firstLine="567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Охват детей, состоящих на всех видах профилактического учета, в том числе находящихся в социально опасном положении, в летний период 2021 года различными видами отдыха, оздоровления и занятости</w:t>
      </w:r>
    </w:p>
    <w:tbl>
      <w:tblPr>
        <w:tblW w:w="0" w:type="auto"/>
        <w:tblInd w:w="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10"/>
        <w:gridCol w:w="707"/>
        <w:gridCol w:w="698"/>
        <w:gridCol w:w="799"/>
        <w:gridCol w:w="706"/>
        <w:gridCol w:w="698"/>
        <w:gridCol w:w="799"/>
        <w:gridCol w:w="706"/>
        <w:gridCol w:w="698"/>
        <w:gridCol w:w="799"/>
        <w:gridCol w:w="705"/>
      </w:tblGrid>
      <w:tr w:rsidR="00BF1356" w:rsidTr="00BF1356">
        <w:trPr>
          <w:trHeight w:val="800"/>
        </w:trPr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BF1356" w:rsidRDefault="00BF135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категория</w:t>
            </w:r>
          </w:p>
          <w:p w:rsidR="00BF1356" w:rsidRDefault="00BF135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BF1356" w:rsidRDefault="00BF135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BF1356" w:rsidRDefault="00BF135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  <w:p w:rsidR="00BF1356" w:rsidRDefault="00BF135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вид оздоровления</w:t>
            </w:r>
          </w:p>
        </w:tc>
        <w:tc>
          <w:tcPr>
            <w:tcW w:w="2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56" w:rsidRDefault="00BF135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ОДН</w:t>
            </w:r>
          </w:p>
          <w:p w:rsidR="00BF1356" w:rsidRDefault="00BF135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(кол</w:t>
            </w:r>
            <w:proofErr w:type="gramStart"/>
            <w:r>
              <w:rPr>
                <w:sz w:val="26"/>
                <w:szCs w:val="26"/>
                <w:lang w:eastAsia="en-US"/>
              </w:rPr>
              <w:t>.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gramStart"/>
            <w:r>
              <w:rPr>
                <w:sz w:val="26"/>
                <w:szCs w:val="26"/>
                <w:lang w:eastAsia="en-US"/>
              </w:rPr>
              <w:t>ч</w:t>
            </w:r>
            <w:proofErr w:type="gramEnd"/>
            <w:r>
              <w:rPr>
                <w:sz w:val="26"/>
                <w:szCs w:val="26"/>
                <w:lang w:eastAsia="en-US"/>
              </w:rPr>
              <w:t>ел.)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56" w:rsidRDefault="00BF135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ВШУ</w:t>
            </w:r>
          </w:p>
          <w:p w:rsidR="00BF1356" w:rsidRDefault="00BF135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(кол</w:t>
            </w:r>
            <w:proofErr w:type="gramStart"/>
            <w:r>
              <w:rPr>
                <w:sz w:val="26"/>
                <w:szCs w:val="26"/>
                <w:lang w:eastAsia="en-US"/>
              </w:rPr>
              <w:t>.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gramStart"/>
            <w:r>
              <w:rPr>
                <w:sz w:val="26"/>
                <w:szCs w:val="26"/>
                <w:lang w:eastAsia="en-US"/>
              </w:rPr>
              <w:t>ч</w:t>
            </w:r>
            <w:proofErr w:type="gramEnd"/>
            <w:r>
              <w:rPr>
                <w:sz w:val="26"/>
                <w:szCs w:val="26"/>
                <w:lang w:eastAsia="en-US"/>
              </w:rPr>
              <w:t>ел.)</w:t>
            </w:r>
          </w:p>
        </w:tc>
        <w:tc>
          <w:tcPr>
            <w:tcW w:w="2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56" w:rsidRDefault="00BF135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СОП</w:t>
            </w:r>
          </w:p>
          <w:p w:rsidR="00BF1356" w:rsidRDefault="00BF135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(кол</w:t>
            </w:r>
            <w:proofErr w:type="gramStart"/>
            <w:r>
              <w:rPr>
                <w:sz w:val="26"/>
                <w:szCs w:val="26"/>
                <w:lang w:eastAsia="en-US"/>
              </w:rPr>
              <w:t>.</w:t>
            </w:r>
            <w:proofErr w:type="gramEnd"/>
            <w:r>
              <w:rPr>
                <w:sz w:val="26"/>
                <w:szCs w:val="26"/>
                <w:lang w:eastAsia="en-US"/>
              </w:rPr>
              <w:t xml:space="preserve"> </w:t>
            </w:r>
            <w:proofErr w:type="gramStart"/>
            <w:r>
              <w:rPr>
                <w:sz w:val="26"/>
                <w:szCs w:val="26"/>
                <w:lang w:eastAsia="en-US"/>
              </w:rPr>
              <w:t>ч</w:t>
            </w:r>
            <w:proofErr w:type="gramEnd"/>
            <w:r>
              <w:rPr>
                <w:sz w:val="26"/>
                <w:szCs w:val="26"/>
                <w:lang w:eastAsia="en-US"/>
              </w:rPr>
              <w:t>ел.)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56" w:rsidRDefault="00BF135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всего</w:t>
            </w:r>
          </w:p>
        </w:tc>
      </w:tr>
      <w:tr w:rsidR="00BF1356" w:rsidTr="00BF1356">
        <w:trPr>
          <w:trHeight w:val="6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356" w:rsidRDefault="00BF135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56" w:rsidRDefault="00BF135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июнь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56" w:rsidRDefault="00BF135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июль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56" w:rsidRDefault="00BF135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август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56" w:rsidRDefault="00BF135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июнь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56" w:rsidRDefault="00BF135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июль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56" w:rsidRDefault="00BF135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август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56" w:rsidRDefault="00BF135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июнь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56" w:rsidRDefault="00BF135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июль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56" w:rsidRDefault="00BF135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август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356" w:rsidRDefault="00BF135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BF1356" w:rsidTr="00BF135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56" w:rsidRDefault="00BF135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Лагеря с дневным пребыванием (ЛДП)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56" w:rsidRDefault="00BF135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56" w:rsidRDefault="00BF135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56" w:rsidRDefault="00BF135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56" w:rsidRDefault="00BF135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56" w:rsidRDefault="00BF135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56" w:rsidRDefault="00BF135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56" w:rsidRDefault="00BF135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56" w:rsidRDefault="00BF135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56" w:rsidRDefault="00BF135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56" w:rsidRDefault="00BF135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62</w:t>
            </w:r>
          </w:p>
        </w:tc>
      </w:tr>
      <w:tr w:rsidR="00BF1356" w:rsidTr="00BF135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56" w:rsidRDefault="00BF135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Загородные оздоровительные лагеря (ЗОЛ)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56" w:rsidRDefault="00BF135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56" w:rsidRDefault="00BF135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56" w:rsidRDefault="00BF135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56" w:rsidRDefault="00BF135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56" w:rsidRDefault="00BF135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56" w:rsidRDefault="00BF135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56" w:rsidRDefault="00BF135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56" w:rsidRDefault="00BF135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56" w:rsidRDefault="00BF135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56" w:rsidRDefault="00BF135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26</w:t>
            </w:r>
          </w:p>
        </w:tc>
      </w:tr>
      <w:tr w:rsidR="00BF1356" w:rsidTr="00BF1356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56" w:rsidRDefault="00BF135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Трудоустройство 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56" w:rsidRDefault="00BF135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56" w:rsidRDefault="00BF135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56" w:rsidRDefault="00BF135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56" w:rsidRDefault="00BF135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56" w:rsidRDefault="00BF135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56" w:rsidRDefault="00BF135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56" w:rsidRDefault="00BF135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56" w:rsidRDefault="00BF135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56" w:rsidRDefault="00BF135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356" w:rsidRDefault="00BF1356">
            <w:pPr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46</w:t>
            </w:r>
          </w:p>
        </w:tc>
      </w:tr>
    </w:tbl>
    <w:p w:rsidR="00BF1356" w:rsidRDefault="00BF1356" w:rsidP="00BF1356">
      <w:pPr>
        <w:jc w:val="both"/>
        <w:rPr>
          <w:sz w:val="26"/>
          <w:szCs w:val="26"/>
        </w:rPr>
      </w:pPr>
    </w:p>
    <w:p w:rsidR="00BF1356" w:rsidRDefault="00BF1356" w:rsidP="00BF1356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Положительным примером сдерживания роста подростковой преступности в период летней оздоровительной кампании является собеседование с руководителями ОО при руководителе ГУО по предварительной занятости несовершеннолетних, состоящих на различных видах профилактического учета. Разработан план ГУО «Подросток», в рамках которого за каждым несовершеннолетним закреплены приказом по школе ответственные педагоги в летний период. Подростки, у которых организована занятость в летний период, как правило, не совершают повторных правонарушений и преступлений в летний период.</w:t>
      </w:r>
    </w:p>
    <w:p w:rsidR="00BF1356" w:rsidRDefault="00BF1356" w:rsidP="00BF1356">
      <w:pPr>
        <w:ind w:firstLine="36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Обеспечение правового обучения детей, родителей и специалистов, работающих с детьми  в образовательных организациях, осуществляется через методики, направленные на формирование законопослушного поведения несовершеннолетних. Дважды в течение учебного года  проходит декада «Правовые знания - школьникам» (октябрь, май) и Месячник по профилактике асоциального поведения  среди учащихся (апрель),  в рамках которых проводятся тематические классные часы, родительские собрания, малые педагогические советы, Советы профилактики, внеклассные и общешкольные мероприятия с приглашением специалистов субъектов системы профилактики. </w:t>
      </w:r>
    </w:p>
    <w:p w:rsidR="00BF1356" w:rsidRDefault="00BF1356" w:rsidP="00BF1356">
      <w:pPr>
        <w:shd w:val="clear" w:color="auto" w:fill="FFFFFF"/>
        <w:ind w:right="130"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lastRenderedPageBreak/>
        <w:t xml:space="preserve">В целях воспитания патриотизма, устойчивого приоритета здорового образа жизни, удовлетворения образовательных потребностей учащихся в углубленном изучении предметов основной части образовательной программы (обществознание, история),   профессиональной ориентации учащихся на службу в полиции, </w:t>
      </w:r>
      <w:r>
        <w:rPr>
          <w:rStyle w:val="FontStyle16"/>
          <w:sz w:val="26"/>
          <w:szCs w:val="26"/>
        </w:rPr>
        <w:t xml:space="preserve">подготовку учащихся к поступлению в высшие и средние учебные заведения МВД РФ, </w:t>
      </w:r>
      <w:r>
        <w:rPr>
          <w:sz w:val="26"/>
          <w:szCs w:val="26"/>
        </w:rPr>
        <w:t>развития практических навыков в области личной безопасности, профилактики правонарушений среди несовершеннолетних, создания условий для развития таких качеств личности</w:t>
      </w:r>
      <w:proofErr w:type="gramEnd"/>
      <w:r>
        <w:rPr>
          <w:sz w:val="26"/>
          <w:szCs w:val="26"/>
        </w:rPr>
        <w:t xml:space="preserve"> как: дисциплинированность, коммуникабельность, принципиальность, порядочность, ответственность, развития творческого, интеллектуального потенциала личности на базе МБОУ «СОШ №№ 5,19,20» созданы 3 полицейских класса.</w:t>
      </w:r>
    </w:p>
    <w:p w:rsidR="00BF1356" w:rsidRDefault="00BF1356" w:rsidP="00BF1356">
      <w:pPr>
        <w:autoSpaceDE w:val="0"/>
        <w:autoSpaceDN w:val="0"/>
        <w:adjustRightInd w:val="0"/>
        <w:ind w:firstLine="708"/>
        <w:jc w:val="both"/>
        <w:rPr>
          <w:rStyle w:val="FontStyle16"/>
          <w:sz w:val="26"/>
          <w:szCs w:val="26"/>
        </w:rPr>
      </w:pPr>
      <w:r>
        <w:rPr>
          <w:rStyle w:val="FontStyle16"/>
          <w:sz w:val="26"/>
          <w:szCs w:val="26"/>
        </w:rPr>
        <w:t xml:space="preserve">Полицейские классы созданы на уровне основного общего образования по согласованию с городским управлением образования администрации города Черногорска, </w:t>
      </w:r>
      <w:r>
        <w:rPr>
          <w:sz w:val="26"/>
          <w:szCs w:val="26"/>
        </w:rPr>
        <w:t>ОМВД России по г. Черногорску</w:t>
      </w:r>
      <w:r>
        <w:rPr>
          <w:rStyle w:val="FontStyle16"/>
          <w:sz w:val="26"/>
          <w:szCs w:val="26"/>
        </w:rPr>
        <w:t xml:space="preserve">. </w:t>
      </w:r>
      <w:r>
        <w:rPr>
          <w:sz w:val="26"/>
          <w:szCs w:val="26"/>
        </w:rPr>
        <w:t xml:space="preserve">Комплектование полицейского класса осуществляется директором школы по согласованию с </w:t>
      </w:r>
      <w:r>
        <w:rPr>
          <w:rStyle w:val="FontStyle16"/>
          <w:sz w:val="26"/>
          <w:szCs w:val="26"/>
        </w:rPr>
        <w:t xml:space="preserve">родителями (законными представителями) учащихся. </w:t>
      </w:r>
      <w:r>
        <w:rPr>
          <w:sz w:val="26"/>
          <w:szCs w:val="26"/>
        </w:rPr>
        <w:t>Учащиеся полицейского класса имеют специализированную форму одежды в полицейском стиле (специальные рубашки, шевроны, галстуки, пилотки, погоны).</w:t>
      </w:r>
    </w:p>
    <w:p w:rsidR="00BF1356" w:rsidRDefault="00BF1356" w:rsidP="00BF1356">
      <w:pPr>
        <w:tabs>
          <w:tab w:val="left" w:pos="567"/>
        </w:tabs>
        <w:autoSpaceDE w:val="0"/>
        <w:autoSpaceDN w:val="0"/>
        <w:adjustRightInd w:val="0"/>
        <w:jc w:val="both"/>
      </w:pPr>
      <w:r>
        <w:rPr>
          <w:sz w:val="26"/>
          <w:szCs w:val="26"/>
        </w:rPr>
        <w:tab/>
        <w:t xml:space="preserve">Совместно с ОМВД, разработан План совместных мероприятий Школы и ОМВД </w:t>
      </w:r>
      <w:r>
        <w:rPr>
          <w:bCs/>
          <w:sz w:val="26"/>
          <w:szCs w:val="26"/>
        </w:rPr>
        <w:t xml:space="preserve">на учебный год в рамках деятельности </w:t>
      </w:r>
      <w:r>
        <w:rPr>
          <w:sz w:val="26"/>
          <w:szCs w:val="26"/>
        </w:rPr>
        <w:t>полицейского класса. Полицейская направленность класса определена наличием в плане внеурочной деятельности курсов, направленных на изучение структуры органов МВД, огневую и  строевую подготовку. Учащиеся полицейского класса имеют право на проведение профилактической работы по предупреждению правонарушений и преступлений среди учащихся под руководством работника школы, сотрудника ОМВД.</w:t>
      </w:r>
    </w:p>
    <w:p w:rsidR="00BF1356" w:rsidRDefault="00BF1356" w:rsidP="00BF1356">
      <w:pPr>
        <w:jc w:val="both"/>
        <w:rPr>
          <w:color w:val="000000"/>
          <w:sz w:val="26"/>
          <w:szCs w:val="26"/>
        </w:rPr>
      </w:pPr>
      <w:proofErr w:type="gramStart"/>
      <w:r>
        <w:rPr>
          <w:sz w:val="26"/>
          <w:szCs w:val="26"/>
        </w:rPr>
        <w:t xml:space="preserve">В целях решения проблем, связанных с формированием у детей и подростков потребности в здоровом образе жизни и получением поддержки и помощи в ситуациях, связанных с риском причинения вреда здоровью, осуществлялось ГУО, ОО в 2021 году посредством активизации антинаркотического молодежного волонтерского движения, участия волонтеров в городских, республиканских, всероссийских  акциях, </w:t>
      </w:r>
      <w:proofErr w:type="spellStart"/>
      <w:r>
        <w:rPr>
          <w:sz w:val="26"/>
          <w:szCs w:val="26"/>
        </w:rPr>
        <w:t>квестах</w:t>
      </w:r>
      <w:proofErr w:type="spellEnd"/>
      <w:r>
        <w:rPr>
          <w:sz w:val="26"/>
          <w:szCs w:val="26"/>
        </w:rPr>
        <w:t>, обучающих семинарах, слетах (дистанционно).</w:t>
      </w:r>
      <w:proofErr w:type="gramEnd"/>
      <w:r>
        <w:rPr>
          <w:sz w:val="26"/>
          <w:szCs w:val="26"/>
        </w:rPr>
        <w:t xml:space="preserve"> Волонтерами организован выпуск листовок, буклетов, создаются видеоролики о пагубном влиянии наркотиков на подрастающий организм. </w:t>
      </w:r>
      <w:r>
        <w:rPr>
          <w:color w:val="000000"/>
          <w:sz w:val="26"/>
          <w:szCs w:val="26"/>
        </w:rPr>
        <w:t>Волонтерами в 2021 учебном году продолжена активная работа по разработке и реализации социально значимых проектов.</w:t>
      </w:r>
    </w:p>
    <w:p w:rsidR="00BF1356" w:rsidRDefault="00BF1356" w:rsidP="00BF1356">
      <w:pPr>
        <w:pStyle w:val="ConsPlusNormal"/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С 01.10.2021 года по 20.11.2021 года во всех ОО (кроме НОШ № 3) организовано социально-психологическое тестирование учащихся 13-18 лет на предмет выявления немедицинского потребления наркотических средств и психотропных веществ. </w:t>
      </w:r>
    </w:p>
    <w:p w:rsidR="00BF1356" w:rsidRDefault="00BF1356" w:rsidP="00BF1356">
      <w:pPr>
        <w:pStyle w:val="ConsPlusNormal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 выявленной группой риска, спланирована профилактическая работа в течение учебного года по средствам реализации комплекса мероприятий социальной рекламы, направленных на формирование здорового образа жизни, профилактику </w:t>
      </w:r>
      <w:proofErr w:type="spellStart"/>
      <w:r>
        <w:rPr>
          <w:sz w:val="26"/>
          <w:szCs w:val="26"/>
        </w:rPr>
        <w:t>девиантного</w:t>
      </w:r>
      <w:proofErr w:type="spellEnd"/>
      <w:r>
        <w:rPr>
          <w:sz w:val="26"/>
          <w:szCs w:val="26"/>
        </w:rPr>
        <w:t xml:space="preserve">  поведения, организацию выпуска буклетов, листовок, плакатов, видеороликов о пагубном влиянии алкоголя, </w:t>
      </w:r>
      <w:proofErr w:type="spellStart"/>
      <w:r>
        <w:rPr>
          <w:sz w:val="26"/>
          <w:szCs w:val="26"/>
        </w:rPr>
        <w:t>табакокурения</w:t>
      </w:r>
      <w:proofErr w:type="spellEnd"/>
      <w:r>
        <w:rPr>
          <w:sz w:val="26"/>
          <w:szCs w:val="26"/>
        </w:rPr>
        <w:t xml:space="preserve">, наркотиков, иных </w:t>
      </w:r>
      <w:proofErr w:type="spellStart"/>
      <w:r>
        <w:rPr>
          <w:sz w:val="26"/>
          <w:szCs w:val="26"/>
        </w:rPr>
        <w:t>психоактивных</w:t>
      </w:r>
      <w:proofErr w:type="spellEnd"/>
      <w:r>
        <w:rPr>
          <w:sz w:val="26"/>
          <w:szCs w:val="26"/>
        </w:rPr>
        <w:t xml:space="preserve"> веществ.</w:t>
      </w:r>
    </w:p>
    <w:p w:rsidR="00BF1356" w:rsidRDefault="00BF1356" w:rsidP="00BF1356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 xml:space="preserve">Взаимодействие ГУО с органами системы профилактики безнадзорности и правонарушений несовершеннолетних, учреждениями реабилитации и социального обслуживания детей, центрами социальной помощи семье и детям, иными </w:t>
      </w:r>
      <w:r>
        <w:rPr>
          <w:sz w:val="26"/>
          <w:szCs w:val="26"/>
        </w:rPr>
        <w:lastRenderedPageBreak/>
        <w:t>органами по вопросам организации и координации деятельности по профилактике  безнадзорности, правонарушений среди учащихся образовательных организаций, предупреждению немедицинского потребления наркотических средств и психотропных веществ осуществляется согласно комплексным межведомственным планов, графиков бесед, рейдовых мероприятий.</w:t>
      </w:r>
      <w:proofErr w:type="gramEnd"/>
    </w:p>
    <w:p w:rsidR="00BF1356" w:rsidRDefault="00BF1356" w:rsidP="00BF135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Во всех образовательных организациях налажено  тесное взаимодействие с  субъектами городской системы профилактики. При участии  специалистов, сотрудников различных служб проводятся: классные часы, родительские собрания, семинары, диспуты, рейды по неблагополучным семьям. Социальными педагогами школ ежегодно составляется план совместной работы с ОДН ОМВД России по г. Черногорску, ведется журнал посещения сотрудниками ОМВД образовательной организации, систематически направляется – информация по работе с учащимися, семьями, состоящими на учете в ОДН, оформляются представления по привлечению родителей к административной ответственности, на лишение родительских прав.</w:t>
      </w:r>
    </w:p>
    <w:p w:rsidR="00BF1356" w:rsidRDefault="00BF1356" w:rsidP="00BF1356">
      <w:pPr>
        <w:ind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Анализ деятельности ГУО, ОО в рамках реализации Федерального закона от 24.06.1999 г. № 120-ФЗ «Об основах системы профилактики безнадзорности и правонарушений несовершеннолетних» показывает, что благодаря совместной эффективной работе ГУО  во взаимодействии с другими субъектами профилактики, принимаемым мерам превентивного характера, на территории г. Черногорска на протяжении последних лет отмечается положительная динамика по декриминализации подростковой среды.</w:t>
      </w:r>
      <w:proofErr w:type="gramEnd"/>
      <w:r>
        <w:rPr>
          <w:sz w:val="26"/>
          <w:szCs w:val="26"/>
        </w:rPr>
        <w:t xml:space="preserve"> Совершенные подростками преступные деяния не оказали заметного влияния на </w:t>
      </w:r>
      <w:proofErr w:type="spellStart"/>
      <w:r>
        <w:rPr>
          <w:sz w:val="26"/>
          <w:szCs w:val="26"/>
        </w:rPr>
        <w:t>общесоциальную</w:t>
      </w:r>
      <w:proofErr w:type="spellEnd"/>
      <w:r>
        <w:rPr>
          <w:sz w:val="26"/>
          <w:szCs w:val="26"/>
        </w:rPr>
        <w:t xml:space="preserve"> обстановку в городе. Значительная их часть относится к составам небольшой и средней тяжести. </w:t>
      </w:r>
    </w:p>
    <w:p w:rsidR="00704990" w:rsidRDefault="00704990"/>
    <w:sectPr w:rsidR="00704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26484"/>
    <w:multiLevelType w:val="hybridMultilevel"/>
    <w:tmpl w:val="A686DF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DA2BBC"/>
    <w:multiLevelType w:val="hybridMultilevel"/>
    <w:tmpl w:val="61987B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38414C7"/>
    <w:multiLevelType w:val="hybridMultilevel"/>
    <w:tmpl w:val="D44E57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9C9662F"/>
    <w:multiLevelType w:val="hybridMultilevel"/>
    <w:tmpl w:val="B022A266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4">
    <w:nsid w:val="7EDE54F6"/>
    <w:multiLevelType w:val="hybridMultilevel"/>
    <w:tmpl w:val="516C2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A7B"/>
    <w:rsid w:val="00060986"/>
    <w:rsid w:val="001B7A7B"/>
    <w:rsid w:val="00704990"/>
    <w:rsid w:val="00BF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356"/>
    <w:pPr>
      <w:ind w:left="720"/>
      <w:contextualSpacing/>
    </w:pPr>
  </w:style>
  <w:style w:type="paragraph" w:customStyle="1" w:styleId="ConsPlusNormal">
    <w:name w:val="ConsPlusNormal"/>
    <w:rsid w:val="00BF13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6">
    <w:name w:val="Font Style16"/>
    <w:uiPriority w:val="99"/>
    <w:rsid w:val="00BF1356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356"/>
    <w:pPr>
      <w:ind w:left="720"/>
      <w:contextualSpacing/>
    </w:pPr>
  </w:style>
  <w:style w:type="paragraph" w:customStyle="1" w:styleId="ConsPlusNormal">
    <w:name w:val="ConsPlusNormal"/>
    <w:rsid w:val="00BF13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6">
    <w:name w:val="Font Style16"/>
    <w:uiPriority w:val="99"/>
    <w:rsid w:val="00BF1356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7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1440</Words>
  <Characters>8213</Characters>
  <Application>Microsoft Office Word</Application>
  <DocSecurity>0</DocSecurity>
  <Lines>68</Lines>
  <Paragraphs>19</Paragraphs>
  <ScaleCrop>false</ScaleCrop>
  <Company/>
  <LinksUpToDate>false</LinksUpToDate>
  <CharactersWithSpaces>9634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Викторовна</dc:creator>
  <cp:keywords/>
  <dc:description/>
  <cp:lastModifiedBy>Светлана Викторовна</cp:lastModifiedBy>
  <cp:revision>4</cp:revision>
  <dcterms:created xsi:type="dcterms:W3CDTF">2022-01-20T01:40:00Z</dcterms:created>
  <dcterms:modified xsi:type="dcterms:W3CDTF">2022-01-20T03:26:00Z</dcterms:modified>
</cp:coreProperties>
</file>